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345DEA"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rPr>
                <w:b/>
                <w:bCs/>
              </w:rPr>
              <w:fldChar w:fldCharType="begin"/>
            </w:r>
            <w:r>
              <w:rPr>
                <w:b/>
                <w:bCs/>
              </w:rPr>
              <w:instrText xml:space="preserve"> </w:instrText>
            </w:r>
            <w:r>
              <w:rPr>
                <w:b/>
                <w:bCs/>
              </w:rPr>
              <w:instrText xml:space="preserve"> TC  "SRFFIT006B Use and maintain core fitness industry equipment Use and maintain core fitness industry equipment </w:instrText>
            </w:r>
            <w:r>
              <w:rPr>
                <w:b/>
                <w:bCs/>
              </w:rPr>
              <w:fldChar w:fldCharType="end"/>
            </w:r>
            <w:r>
              <w:rPr>
                <w:b/>
                <w:bCs/>
              </w:rPr>
              <w:fldChar w:fldCharType="begin"/>
            </w:r>
            <w:r>
              <w:rPr>
                <w:b/>
                <w:bCs/>
              </w:rPr>
              <w:instrText xml:space="preserve"> TC  "</w:instrText>
            </w:r>
            <w:bookmarkStart w:id="0" w:name="_Toc93823573"/>
            <w:r>
              <w:rPr>
                <w:b/>
                <w:bCs/>
              </w:rPr>
              <w:instrText>SRFFIT006B Use and maintain core fitness industry equipment</w:instrText>
            </w:r>
            <w:bookmarkEnd w:id="0"/>
            <w:r>
              <w:rPr>
                <w:b/>
                <w:bCs/>
              </w:rPr>
              <w:instrText xml:space="preserve">" </w:instrText>
            </w:r>
            <w:r>
              <w:rPr>
                <w:b/>
                <w:bCs/>
              </w:rPr>
              <w:fldChar w:fldCharType="end"/>
            </w:r>
            <w:r>
              <w:rPr>
                <w:b/>
                <w:bCs/>
              </w:rPr>
              <w:t>SRFFIT006B</w:t>
            </w:r>
          </w:p>
        </w:tc>
        <w:tc>
          <w:tcPr>
            <w:tcW w:w="3823" w:type="pct"/>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rPr>
                <w:b/>
                <w:bCs/>
              </w:rPr>
              <w:t>USE AND MAINTAIN CORE FITNESS INDUSTRY EQUIPMENT</w:t>
            </w:r>
          </w:p>
        </w:tc>
      </w:tr>
      <w:tr w:rsidR="00345DEA"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t> </w:t>
            </w:r>
          </w:p>
        </w:tc>
        <w:tc>
          <w:tcPr>
            <w:tcW w:w="3823" w:type="pct"/>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p>
        </w:tc>
      </w:tr>
      <w:tr w:rsidR="00345DEA"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t>FIT</w:t>
            </w:r>
          </w:p>
        </w:tc>
        <w:tc>
          <w:tcPr>
            <w:tcW w:w="3823" w:type="pct"/>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t>Fitness</w:t>
            </w:r>
          </w:p>
        </w:tc>
      </w:tr>
    </w:tbl>
    <w:p w:rsidR="00345DEA" w:rsidRDefault="00345DEA" w:rsidP="00345DEA">
      <w:pPr>
        <w:rPr>
          <w:sz w:val="24"/>
          <w:szCs w:val="24"/>
        </w:rPr>
      </w:pPr>
    </w:p>
    <w:tbl>
      <w:tblPr>
        <w:tblW w:w="9638" w:type="dxa"/>
        <w:tblCellSpacing w:w="0" w:type="dxa"/>
        <w:tblCellMar>
          <w:top w:w="30" w:type="dxa"/>
          <w:left w:w="30" w:type="dxa"/>
          <w:bottom w:w="30" w:type="dxa"/>
          <w:right w:w="30" w:type="dxa"/>
        </w:tblCellMar>
        <w:tblLook w:val="0000"/>
      </w:tblPr>
      <w:tblGrid>
        <w:gridCol w:w="9638"/>
      </w:tblGrid>
      <w:tr w:rsidR="00345DEA" w:rsidTr="007A4130">
        <w:trPr>
          <w:tblCellSpacing w:w="0" w:type="dxa"/>
        </w:trPr>
        <w:tc>
          <w:tcPr>
            <w:tcW w:w="9638" w:type="dxa"/>
            <w:shd w:val="clear" w:color="auto" w:fill="000000"/>
          </w:tcPr>
          <w:p w:rsidR="00345DEA" w:rsidRDefault="00345DEA" w:rsidP="007A4130">
            <w:pPr>
              <w:pStyle w:val="NormalWeb"/>
              <w:rPr>
                <w:b/>
                <w:bCs/>
                <w:color w:val="FFFFFF"/>
              </w:rPr>
            </w:pPr>
            <w:r>
              <w:rPr>
                <w:b/>
                <w:bCs/>
                <w:color w:val="FFFFFF"/>
              </w:rPr>
              <w:t>DESCRIPTION: This unit has been developed for the Fitness Industry Training Package and covers the knowledge and skills to provide the fitness instructor with basic knowledge and skills to maintain equipment commonly used in the fitness industry, and operate it to manufacturer’s specifications.</w:t>
            </w:r>
          </w:p>
        </w:tc>
      </w:tr>
    </w:tbl>
    <w:p w:rsidR="00345DEA" w:rsidRDefault="00345DEA" w:rsidP="00345DEA">
      <w:pPr>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rPr>
                <w:b/>
                <w:bCs/>
              </w:rPr>
              <w:t>ELEMENT</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rPr>
                <w:b/>
                <w:bCs/>
              </w:rPr>
              <w:t>PERFORMANCE CRITERIA</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1  Conduct basic maintenance of equipment and facilities of a fitness centre</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pStyle w:val="NormalWeb"/>
              <w:numPr>
                <w:ilvl w:val="0"/>
                <w:numId w:val="12"/>
              </w:numPr>
              <w:tabs>
                <w:tab w:val="clear" w:pos="720"/>
              </w:tabs>
              <w:ind w:left="567" w:hanging="454"/>
            </w:pPr>
            <w:r>
              <w:t xml:space="preserve">Carry out daily, weekly, monthly and annual preventative </w:t>
            </w:r>
            <w:r>
              <w:rPr>
                <w:b/>
                <w:bCs/>
                <w:i/>
                <w:iCs/>
              </w:rPr>
              <w:t>maintenance</w:t>
            </w:r>
            <w:r>
              <w:t xml:space="preserve"> on </w:t>
            </w:r>
            <w:r>
              <w:rPr>
                <w:b/>
                <w:bCs/>
                <w:i/>
                <w:iCs/>
              </w:rPr>
              <w:t>fitness equipment</w:t>
            </w:r>
          </w:p>
          <w:p w:rsidR="00345DEA" w:rsidRDefault="00345DEA" w:rsidP="00345DEA">
            <w:pPr>
              <w:pStyle w:val="NormalWeb"/>
              <w:numPr>
                <w:ilvl w:val="0"/>
                <w:numId w:val="12"/>
              </w:numPr>
              <w:tabs>
                <w:tab w:val="clear" w:pos="720"/>
              </w:tabs>
              <w:ind w:left="567" w:hanging="454"/>
            </w:pPr>
            <w:r>
              <w:rPr>
                <w:bCs/>
                <w:iCs/>
              </w:rPr>
              <w:t xml:space="preserve">Complete </w:t>
            </w:r>
            <w:r>
              <w:rPr>
                <w:b/>
                <w:bCs/>
                <w:i/>
                <w:iCs/>
              </w:rPr>
              <w:t>maintenance logs</w:t>
            </w:r>
            <w:r>
              <w:t xml:space="preserve"> </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2  Assist clients in the safe operation of the major types of equipment used in a fitness centre</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pStyle w:val="NormalWeb"/>
              <w:numPr>
                <w:ilvl w:val="1"/>
                <w:numId w:val="12"/>
              </w:numPr>
              <w:tabs>
                <w:tab w:val="clear" w:pos="1443"/>
              </w:tabs>
              <w:ind w:left="567" w:hanging="454"/>
            </w:pPr>
            <w:r>
              <w:t xml:space="preserve">Apply the principles of action and safe method of operation of </w:t>
            </w:r>
            <w:r>
              <w:rPr>
                <w:b/>
                <w:bCs/>
                <w:i/>
                <w:iCs/>
              </w:rPr>
              <w:t>fitness equipment</w:t>
            </w:r>
            <w:r>
              <w:t xml:space="preserve"> supplied by the manufacturer when instructing clients</w:t>
            </w:r>
          </w:p>
          <w:p w:rsidR="00345DEA" w:rsidRDefault="00345DEA" w:rsidP="00345DEA">
            <w:pPr>
              <w:pStyle w:val="NormalWeb"/>
              <w:numPr>
                <w:ilvl w:val="1"/>
                <w:numId w:val="12"/>
              </w:numPr>
              <w:tabs>
                <w:tab w:val="clear" w:pos="1443"/>
              </w:tabs>
              <w:ind w:left="567" w:hanging="454"/>
            </w:pPr>
            <w:r>
              <w:t xml:space="preserve">Supervise the use of </w:t>
            </w:r>
            <w:r>
              <w:rPr>
                <w:b/>
                <w:bCs/>
                <w:i/>
                <w:iCs/>
              </w:rPr>
              <w:t>fitness equipment</w:t>
            </w:r>
            <w:r>
              <w:t xml:space="preserve"> by clients to ensure safety</w:t>
            </w:r>
          </w:p>
        </w:tc>
      </w:tr>
    </w:tbl>
    <w:p w:rsidR="00345DEA" w:rsidRDefault="00345DEA" w:rsidP="00345DEA">
      <w:pPr>
        <w:rPr>
          <w:vanish/>
          <w:sz w:val="24"/>
          <w:szCs w:val="24"/>
        </w:rPr>
      </w:pPr>
      <w:r>
        <w:rPr>
          <w:rFonts w:ascii="Arial" w:hAnsi="Arial" w:cs="Arial"/>
        </w:rPr>
        <w:br w:type="page"/>
      </w:r>
    </w:p>
    <w:tbl>
      <w:tblPr>
        <w:tblW w:w="9638" w:type="dxa"/>
        <w:tblCellSpacing w:w="0" w:type="dxa"/>
        <w:tblCellMar>
          <w:top w:w="30" w:type="dxa"/>
          <w:left w:w="30" w:type="dxa"/>
          <w:bottom w:w="30" w:type="dxa"/>
          <w:right w:w="30" w:type="dxa"/>
        </w:tblCellMar>
        <w:tblLook w:val="0000"/>
      </w:tblPr>
      <w:tblGrid>
        <w:gridCol w:w="9638"/>
      </w:tblGrid>
      <w:tr w:rsidR="00345DEA" w:rsidTr="007A4130">
        <w:trPr>
          <w:tblCellSpacing w:w="0" w:type="dxa"/>
        </w:trPr>
        <w:tc>
          <w:tcPr>
            <w:tcW w:w="9638" w:type="dxa"/>
          </w:tcPr>
          <w:p w:rsidR="00345DEA" w:rsidRDefault="00345DEA" w:rsidP="007A4130">
            <w:pPr>
              <w:pStyle w:val="NormalWeb"/>
            </w:pPr>
            <w:r>
              <w:rPr>
                <w:b/>
                <w:bCs/>
              </w:rPr>
              <w:t>Range Statements</w:t>
            </w:r>
          </w:p>
          <w:p w:rsidR="00345DEA" w:rsidRDefault="00345DEA" w:rsidP="007A4130">
            <w:pPr>
              <w:pStyle w:val="NormalWeb"/>
            </w:pPr>
            <w: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c>
      </w:tr>
    </w:tbl>
    <w:p w:rsidR="00345DEA" w:rsidRDefault="00345DEA" w:rsidP="00345DEA">
      <w:pPr>
        <w:spacing w:after="240"/>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rPr>
                <w:b/>
                <w:bCs/>
              </w:rPr>
              <w:t>RANGE STATEMENT</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rPr>
                <w:b/>
                <w:bCs/>
              </w:rPr>
              <w:t>CATEGORIES</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Fitness equipment</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7A4130">
            <w:pPr>
              <w:spacing w:before="100" w:beforeAutospacing="1" w:after="100" w:afterAutospacing="1"/>
              <w:rPr>
                <w:rFonts w:ascii="Arial" w:hAnsi="Arial" w:cs="Arial"/>
              </w:rPr>
            </w:pPr>
            <w:r>
              <w:rPr>
                <w:rFonts w:ascii="Arial" w:hAnsi="Arial" w:cs="Arial"/>
              </w:rPr>
              <w:t>[all categories]</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free weights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barbells</w:t>
            </w:r>
          </w:p>
          <w:p w:rsidR="00345DEA" w:rsidRDefault="00345DEA" w:rsidP="00345DEA">
            <w:pPr>
              <w:numPr>
                <w:ilvl w:val="1"/>
                <w:numId w:val="2"/>
              </w:numPr>
              <w:tabs>
                <w:tab w:val="clear" w:pos="1440"/>
              </w:tabs>
              <w:spacing w:before="100" w:beforeAutospacing="1" w:after="100" w:afterAutospacing="1"/>
              <w:rPr>
                <w:rFonts w:ascii="Arial" w:hAnsi="Arial" w:cs="Arial"/>
              </w:rPr>
            </w:pPr>
            <w:proofErr w:type="spellStart"/>
            <w:r>
              <w:rPr>
                <w:rFonts w:ascii="Arial" w:hAnsi="Arial" w:cs="Arial"/>
              </w:rPr>
              <w:t>dumbells</w:t>
            </w:r>
            <w:proofErr w:type="spellEnd"/>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frames and upholstery</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 xml:space="preserve">ancillary equipment, </w:t>
            </w:r>
            <w:proofErr w:type="spellStart"/>
            <w:r>
              <w:rPr>
                <w:rFonts w:ascii="Arial" w:hAnsi="Arial" w:cs="Arial"/>
              </w:rPr>
              <w:t>eg</w:t>
            </w:r>
            <w:proofErr w:type="spellEnd"/>
            <w:r>
              <w:rPr>
                <w:rFonts w:ascii="Arial" w:hAnsi="Arial" w:cs="Arial"/>
              </w:rPr>
              <w:t>, belts, straps, boards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racks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benches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specialised floor surfaces and/or platforms</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pin loaded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lever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variable resistance lever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pulley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cam systems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rails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weight stacks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bearings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pulleys and cables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cable connectors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 xml:space="preserve">accessories, </w:t>
            </w:r>
            <w:proofErr w:type="spellStart"/>
            <w:r>
              <w:rPr>
                <w:rFonts w:ascii="Arial" w:hAnsi="Arial" w:cs="Arial"/>
              </w:rPr>
              <w:t>eg</w:t>
            </w:r>
            <w:proofErr w:type="spellEnd"/>
            <w:r>
              <w:rPr>
                <w:rFonts w:ascii="Arial" w:hAnsi="Arial" w:cs="Arial"/>
              </w:rPr>
              <w:t>, bars, straps</w:t>
            </w:r>
          </w:p>
          <w:p w:rsidR="00345DEA" w:rsidRDefault="00345DEA" w:rsidP="00345DEA">
            <w:pPr>
              <w:numPr>
                <w:ilvl w:val="2"/>
                <w:numId w:val="2"/>
              </w:numPr>
              <w:tabs>
                <w:tab w:val="clear" w:pos="2160"/>
              </w:tabs>
              <w:spacing w:before="100" w:beforeAutospacing="1" w:after="100" w:afterAutospacing="1"/>
              <w:rPr>
                <w:rFonts w:ascii="Arial" w:hAnsi="Arial" w:cs="Arial"/>
              </w:rPr>
            </w:pPr>
            <w:r>
              <w:rPr>
                <w:rFonts w:ascii="Arial" w:hAnsi="Arial" w:cs="Arial"/>
              </w:rPr>
              <w:t>frames and upholstery</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hydraulic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hydraulic bleeding</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bearings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pulleys and cables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cable connectors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 xml:space="preserve">accessories, </w:t>
            </w:r>
            <w:proofErr w:type="spellStart"/>
            <w:r>
              <w:rPr>
                <w:rFonts w:ascii="Arial" w:hAnsi="Arial" w:cs="Arial"/>
              </w:rPr>
              <w:t>eg</w:t>
            </w:r>
            <w:proofErr w:type="spellEnd"/>
            <w:r>
              <w:rPr>
                <w:rFonts w:ascii="Arial" w:hAnsi="Arial" w:cs="Arial"/>
              </w:rPr>
              <w:t>, bars, straps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frames and upholstery</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air braked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frames and upholstery</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wheels/vanes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bearings/slides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cords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cables/chains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handles</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electronic/cardiovascular systems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power cords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motors and moving parts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control panels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frames and upholstery</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sound systems, including microphones</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surfaces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mirrors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counter and desk tops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 xml:space="preserve">flooring, </w:t>
            </w:r>
            <w:proofErr w:type="spellStart"/>
            <w:r>
              <w:rPr>
                <w:rFonts w:ascii="Arial" w:hAnsi="Arial" w:cs="Arial"/>
              </w:rPr>
              <w:t>eg</w:t>
            </w:r>
            <w:proofErr w:type="spellEnd"/>
            <w:r>
              <w:rPr>
                <w:rFonts w:ascii="Arial" w:hAnsi="Arial" w:cs="Arial"/>
              </w:rPr>
              <w:t>, carpet, rubber</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mats</w:t>
            </w:r>
          </w:p>
          <w:p w:rsidR="00345DEA" w:rsidRDefault="00345DEA" w:rsidP="00345DEA">
            <w:pPr>
              <w:numPr>
                <w:ilvl w:val="0"/>
                <w:numId w:val="2"/>
              </w:numPr>
              <w:tabs>
                <w:tab w:val="clear" w:pos="720"/>
              </w:tabs>
              <w:spacing w:before="100" w:beforeAutospacing="1" w:after="100" w:afterAutospacing="1"/>
              <w:rPr>
                <w:rFonts w:ascii="Arial" w:hAnsi="Arial" w:cs="Arial"/>
              </w:rPr>
            </w:pPr>
            <w:r>
              <w:rPr>
                <w:rFonts w:ascii="Arial" w:hAnsi="Arial" w:cs="Arial"/>
              </w:rPr>
              <w:t>aqua equipment</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flotation devices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lastRenderedPageBreak/>
              <w:t>resistance devices</w:t>
            </w:r>
          </w:p>
          <w:p w:rsidR="00345DEA" w:rsidRDefault="00345DEA" w:rsidP="00345DEA">
            <w:pPr>
              <w:numPr>
                <w:ilvl w:val="1"/>
                <w:numId w:val="2"/>
              </w:numPr>
              <w:tabs>
                <w:tab w:val="clear" w:pos="1440"/>
              </w:tabs>
              <w:spacing w:before="100" w:beforeAutospacing="1" w:after="100" w:afterAutospacing="1"/>
              <w:rPr>
                <w:rFonts w:ascii="Arial" w:hAnsi="Arial" w:cs="Arial"/>
              </w:rPr>
            </w:pPr>
            <w:r>
              <w:rPr>
                <w:rFonts w:ascii="Arial" w:hAnsi="Arial" w:cs="Arial"/>
              </w:rPr>
              <w:t>protective devices</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lastRenderedPageBreak/>
              <w:t>Maintenance</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7A4130">
            <w:pPr>
              <w:spacing w:before="100" w:beforeAutospacing="1" w:after="100" w:afterAutospacing="1"/>
              <w:rPr>
                <w:rFonts w:ascii="Arial" w:hAnsi="Arial" w:cs="Arial"/>
              </w:rPr>
            </w:pPr>
            <w:r>
              <w:rPr>
                <w:rFonts w:ascii="Arial" w:hAnsi="Arial" w:cs="Arial"/>
              </w:rPr>
              <w:t>[all categories]</w:t>
            </w:r>
          </w:p>
          <w:p w:rsidR="00345DEA" w:rsidRDefault="00345DEA" w:rsidP="00345DEA">
            <w:pPr>
              <w:numPr>
                <w:ilvl w:val="0"/>
                <w:numId w:val="3"/>
              </w:numPr>
              <w:tabs>
                <w:tab w:val="clear" w:pos="720"/>
              </w:tabs>
              <w:spacing w:before="100" w:beforeAutospacing="1" w:after="100" w:afterAutospacing="1"/>
              <w:rPr>
                <w:rFonts w:ascii="Arial" w:hAnsi="Arial" w:cs="Arial"/>
              </w:rPr>
            </w:pPr>
            <w:r>
              <w:rPr>
                <w:rFonts w:ascii="Arial" w:hAnsi="Arial" w:cs="Arial"/>
              </w:rPr>
              <w:t>cleaning</w:t>
            </w:r>
          </w:p>
          <w:p w:rsidR="00345DEA" w:rsidRDefault="00345DEA" w:rsidP="00345DEA">
            <w:pPr>
              <w:numPr>
                <w:ilvl w:val="0"/>
                <w:numId w:val="3"/>
              </w:numPr>
              <w:tabs>
                <w:tab w:val="clear" w:pos="720"/>
              </w:tabs>
              <w:spacing w:before="100" w:beforeAutospacing="1" w:after="100" w:afterAutospacing="1"/>
              <w:rPr>
                <w:rFonts w:ascii="Arial" w:hAnsi="Arial" w:cs="Arial"/>
              </w:rPr>
            </w:pPr>
            <w:r>
              <w:rPr>
                <w:rFonts w:ascii="Arial" w:hAnsi="Arial" w:cs="Arial"/>
              </w:rPr>
              <w:t>lubrication</w:t>
            </w:r>
          </w:p>
          <w:p w:rsidR="00345DEA" w:rsidRDefault="00345DEA" w:rsidP="00345DEA">
            <w:pPr>
              <w:numPr>
                <w:ilvl w:val="0"/>
                <w:numId w:val="3"/>
              </w:numPr>
              <w:tabs>
                <w:tab w:val="clear" w:pos="720"/>
              </w:tabs>
              <w:spacing w:before="100" w:beforeAutospacing="1" w:after="100" w:afterAutospacing="1"/>
              <w:rPr>
                <w:rFonts w:ascii="Arial" w:hAnsi="Arial" w:cs="Arial"/>
              </w:rPr>
            </w:pPr>
            <w:r>
              <w:rPr>
                <w:rFonts w:ascii="Arial" w:hAnsi="Arial" w:cs="Arial"/>
              </w:rPr>
              <w:t>reinflation</w:t>
            </w:r>
          </w:p>
          <w:p w:rsidR="00345DEA" w:rsidRDefault="00345DEA" w:rsidP="00345DEA">
            <w:pPr>
              <w:numPr>
                <w:ilvl w:val="0"/>
                <w:numId w:val="3"/>
              </w:numPr>
              <w:tabs>
                <w:tab w:val="clear" w:pos="720"/>
              </w:tabs>
              <w:spacing w:before="100" w:beforeAutospacing="1" w:after="100" w:afterAutospacing="1"/>
              <w:rPr>
                <w:rFonts w:ascii="Arial" w:hAnsi="Arial" w:cs="Arial"/>
              </w:rPr>
            </w:pPr>
            <w:r>
              <w:rPr>
                <w:rFonts w:ascii="Arial" w:hAnsi="Arial" w:cs="Arial"/>
              </w:rPr>
              <w:t>checking for damage</w:t>
            </w:r>
          </w:p>
          <w:p w:rsidR="00345DEA" w:rsidRDefault="00345DEA" w:rsidP="00345DEA">
            <w:pPr>
              <w:numPr>
                <w:ilvl w:val="0"/>
                <w:numId w:val="3"/>
              </w:numPr>
              <w:tabs>
                <w:tab w:val="clear" w:pos="720"/>
              </w:tabs>
              <w:spacing w:before="100" w:beforeAutospacing="1" w:after="100" w:afterAutospacing="1"/>
              <w:rPr>
                <w:rFonts w:ascii="Arial" w:hAnsi="Arial" w:cs="Arial"/>
              </w:rPr>
            </w:pPr>
            <w:r>
              <w:rPr>
                <w:rFonts w:ascii="Arial" w:hAnsi="Arial" w:cs="Arial"/>
              </w:rPr>
              <w:t>restocking or refilling</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Maintenance logs</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rPr>
              <w:t>[all categories]</w:t>
            </w:r>
          </w:p>
          <w:p w:rsidR="00345DEA" w:rsidRDefault="00345DEA" w:rsidP="007A4130">
            <w:pPr>
              <w:rPr>
                <w:rFonts w:ascii="Arial" w:hAnsi="Arial" w:cs="Arial"/>
              </w:rPr>
            </w:pPr>
          </w:p>
          <w:p w:rsidR="00345DEA" w:rsidRDefault="00345DEA" w:rsidP="007A4130">
            <w:pPr>
              <w:rPr>
                <w:rFonts w:ascii="Arial" w:hAnsi="Arial" w:cs="Arial"/>
              </w:rPr>
            </w:pPr>
            <w:r>
              <w:rPr>
                <w:rFonts w:ascii="Arial" w:hAnsi="Arial" w:cs="Arial"/>
              </w:rPr>
              <w:t>not be limited to</w:t>
            </w:r>
          </w:p>
          <w:p w:rsidR="00345DEA" w:rsidRDefault="00345DEA" w:rsidP="00345DEA">
            <w:pPr>
              <w:numPr>
                <w:ilvl w:val="0"/>
                <w:numId w:val="4"/>
              </w:numPr>
              <w:tabs>
                <w:tab w:val="clear" w:pos="720"/>
              </w:tabs>
              <w:spacing w:before="100" w:beforeAutospacing="1" w:after="100" w:afterAutospacing="1"/>
              <w:rPr>
                <w:rFonts w:ascii="Arial" w:hAnsi="Arial" w:cs="Arial"/>
              </w:rPr>
            </w:pPr>
            <w:r>
              <w:rPr>
                <w:rFonts w:ascii="Arial" w:hAnsi="Arial" w:cs="Arial"/>
              </w:rPr>
              <w:t>date</w:t>
            </w:r>
          </w:p>
          <w:p w:rsidR="00345DEA" w:rsidRDefault="00345DEA" w:rsidP="00345DEA">
            <w:pPr>
              <w:numPr>
                <w:ilvl w:val="0"/>
                <w:numId w:val="4"/>
              </w:numPr>
              <w:tabs>
                <w:tab w:val="clear" w:pos="720"/>
              </w:tabs>
              <w:spacing w:before="100" w:beforeAutospacing="1" w:after="100" w:afterAutospacing="1"/>
              <w:rPr>
                <w:rFonts w:ascii="Arial" w:hAnsi="Arial" w:cs="Arial"/>
              </w:rPr>
            </w:pPr>
            <w:r>
              <w:rPr>
                <w:rFonts w:ascii="Arial" w:hAnsi="Arial" w:cs="Arial"/>
              </w:rPr>
              <w:t>time</w:t>
            </w:r>
          </w:p>
          <w:p w:rsidR="00345DEA" w:rsidRDefault="00345DEA" w:rsidP="00345DEA">
            <w:pPr>
              <w:numPr>
                <w:ilvl w:val="0"/>
                <w:numId w:val="4"/>
              </w:numPr>
              <w:tabs>
                <w:tab w:val="clear" w:pos="720"/>
              </w:tabs>
              <w:spacing w:before="100" w:beforeAutospacing="1" w:after="100" w:afterAutospacing="1"/>
              <w:rPr>
                <w:rFonts w:ascii="Arial" w:hAnsi="Arial" w:cs="Arial"/>
              </w:rPr>
            </w:pPr>
            <w:r>
              <w:rPr>
                <w:rFonts w:ascii="Arial" w:hAnsi="Arial" w:cs="Arial"/>
              </w:rPr>
              <w:t>maintenance carried out</w:t>
            </w:r>
          </w:p>
          <w:p w:rsidR="00345DEA" w:rsidRDefault="00345DEA" w:rsidP="00345DEA">
            <w:pPr>
              <w:numPr>
                <w:ilvl w:val="0"/>
                <w:numId w:val="4"/>
              </w:numPr>
              <w:tabs>
                <w:tab w:val="clear" w:pos="720"/>
              </w:tabs>
              <w:spacing w:before="100" w:beforeAutospacing="1" w:after="100" w:afterAutospacing="1"/>
              <w:rPr>
                <w:rFonts w:ascii="Arial" w:hAnsi="Arial" w:cs="Arial"/>
              </w:rPr>
            </w:pPr>
            <w:r>
              <w:rPr>
                <w:rFonts w:ascii="Arial" w:hAnsi="Arial" w:cs="Arial"/>
              </w:rPr>
              <w:t>nature of the fault, if any</w:t>
            </w:r>
          </w:p>
          <w:p w:rsidR="00345DEA" w:rsidRDefault="00345DEA" w:rsidP="00345DEA">
            <w:pPr>
              <w:numPr>
                <w:ilvl w:val="0"/>
                <w:numId w:val="4"/>
              </w:numPr>
              <w:tabs>
                <w:tab w:val="clear" w:pos="720"/>
              </w:tabs>
              <w:spacing w:before="100" w:beforeAutospacing="1" w:after="100" w:afterAutospacing="1"/>
              <w:rPr>
                <w:rFonts w:ascii="Arial" w:hAnsi="Arial" w:cs="Arial"/>
              </w:rPr>
            </w:pPr>
            <w:r>
              <w:rPr>
                <w:rFonts w:ascii="Arial" w:hAnsi="Arial" w:cs="Arial"/>
              </w:rPr>
              <w:t>repairs carried out, if any</w:t>
            </w:r>
          </w:p>
          <w:p w:rsidR="00345DEA" w:rsidRDefault="00345DEA" w:rsidP="00345DEA">
            <w:pPr>
              <w:numPr>
                <w:ilvl w:val="0"/>
                <w:numId w:val="4"/>
              </w:numPr>
              <w:tabs>
                <w:tab w:val="clear" w:pos="720"/>
              </w:tabs>
              <w:spacing w:before="100" w:beforeAutospacing="1" w:after="100" w:afterAutospacing="1"/>
              <w:rPr>
                <w:rFonts w:ascii="Arial" w:hAnsi="Arial" w:cs="Arial"/>
              </w:rPr>
            </w:pPr>
            <w:r>
              <w:rPr>
                <w:rFonts w:ascii="Arial" w:hAnsi="Arial" w:cs="Arial"/>
              </w:rPr>
              <w:t>initials of staff undertaking maintenance check</w:t>
            </w:r>
          </w:p>
        </w:tc>
      </w:tr>
    </w:tbl>
    <w:p w:rsidR="00345DEA" w:rsidRDefault="00345DEA" w:rsidP="00345DEA">
      <w:pPr>
        <w:rPr>
          <w:vanish/>
          <w:sz w:val="24"/>
          <w:szCs w:val="24"/>
        </w:rPr>
      </w:pPr>
      <w:r>
        <w:rPr>
          <w:rFonts w:ascii="Arial" w:hAnsi="Arial" w:cs="Arial"/>
        </w:rPr>
        <w:br w:type="page"/>
      </w:r>
    </w:p>
    <w:tbl>
      <w:tblPr>
        <w:tblW w:w="9638" w:type="dxa"/>
        <w:tblCellSpacing w:w="0" w:type="dxa"/>
        <w:tblInd w:w="30" w:type="dxa"/>
        <w:shd w:val="clear" w:color="auto" w:fill="000000"/>
        <w:tblCellMar>
          <w:top w:w="30" w:type="dxa"/>
          <w:left w:w="30" w:type="dxa"/>
          <w:bottom w:w="30" w:type="dxa"/>
          <w:right w:w="30" w:type="dxa"/>
        </w:tblCellMar>
        <w:tblLook w:val="0000"/>
      </w:tblPr>
      <w:tblGrid>
        <w:gridCol w:w="9638"/>
      </w:tblGrid>
      <w:tr w:rsidR="00345DEA" w:rsidTr="007A4130">
        <w:trPr>
          <w:tblCellSpacing w:w="0" w:type="dxa"/>
        </w:trPr>
        <w:tc>
          <w:tcPr>
            <w:tcW w:w="9638" w:type="dxa"/>
            <w:shd w:val="clear" w:color="auto" w:fill="000000"/>
          </w:tcPr>
          <w:p w:rsidR="00345DEA" w:rsidRDefault="00345DEA" w:rsidP="007A4130">
            <w:pPr>
              <w:pStyle w:val="standardtext"/>
            </w:pPr>
            <w:r>
              <w:rPr>
                <w:b/>
                <w:bCs/>
              </w:rPr>
              <w:t>Evidence Guide</w:t>
            </w:r>
          </w:p>
          <w:p w:rsidR="00345DEA" w:rsidRDefault="00345DEA" w:rsidP="007A4130">
            <w:pPr>
              <w:pStyle w:val="standardtext"/>
            </w:pPr>
            <w:r>
              <w:t>The Evidence Guide identifies the critical aspects, knowledge and skills to be demonstrated to confirm competence for this unit. This is an integral part of the assessment of competence and should be read in conjunction with the Range Statements.</w:t>
            </w:r>
          </w:p>
        </w:tc>
      </w:tr>
    </w:tbl>
    <w:p w:rsidR="00345DEA" w:rsidRDefault="00345DEA" w:rsidP="00345DEA">
      <w:pPr>
        <w:rPr>
          <w:sz w:val="24"/>
          <w:szCs w:val="24"/>
        </w:rPr>
      </w:pP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Critical aspects of evidence to be considered</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numPr>
                <w:ilvl w:val="0"/>
                <w:numId w:val="5"/>
              </w:numPr>
              <w:tabs>
                <w:tab w:val="clear" w:pos="720"/>
              </w:tabs>
              <w:spacing w:before="100" w:beforeAutospacing="1" w:after="100" w:afterAutospacing="1"/>
              <w:rPr>
                <w:rFonts w:ascii="Arial" w:hAnsi="Arial" w:cs="Arial"/>
              </w:rPr>
            </w:pPr>
            <w:r>
              <w:rPr>
                <w:rFonts w:ascii="Arial" w:hAnsi="Arial" w:cs="Arial"/>
              </w:rPr>
              <w:t>Assessment must confirm the ability integrated demonstration of all elements of competency and their performance criteria, in particular the ability to</w:t>
            </w:r>
          </w:p>
          <w:p w:rsidR="00345DEA" w:rsidRDefault="00345DEA" w:rsidP="00345DEA">
            <w:pPr>
              <w:numPr>
                <w:ilvl w:val="1"/>
                <w:numId w:val="5"/>
              </w:numPr>
              <w:tabs>
                <w:tab w:val="clear" w:pos="1440"/>
              </w:tabs>
              <w:spacing w:before="100" w:beforeAutospacing="1" w:after="100" w:afterAutospacing="1"/>
              <w:rPr>
                <w:rFonts w:ascii="Arial" w:hAnsi="Arial" w:cs="Arial"/>
              </w:rPr>
            </w:pPr>
            <w:r>
              <w:rPr>
                <w:rFonts w:ascii="Arial" w:hAnsi="Arial" w:cs="Arial"/>
              </w:rPr>
              <w:t>clean to the standard required in the workplace</w:t>
            </w:r>
          </w:p>
          <w:p w:rsidR="00345DEA" w:rsidRDefault="00345DEA" w:rsidP="00345DEA">
            <w:pPr>
              <w:numPr>
                <w:ilvl w:val="1"/>
                <w:numId w:val="5"/>
              </w:numPr>
              <w:tabs>
                <w:tab w:val="clear" w:pos="1440"/>
              </w:tabs>
              <w:spacing w:before="100" w:beforeAutospacing="1" w:after="100" w:afterAutospacing="1"/>
              <w:rPr>
                <w:rFonts w:ascii="Arial" w:hAnsi="Arial" w:cs="Arial"/>
              </w:rPr>
            </w:pPr>
            <w:r>
              <w:rPr>
                <w:rFonts w:ascii="Arial" w:hAnsi="Arial" w:cs="Arial"/>
              </w:rPr>
              <w:t>follow general maintenance procedures</w:t>
            </w:r>
          </w:p>
          <w:p w:rsidR="00345DEA" w:rsidRDefault="00345DEA" w:rsidP="00345DEA">
            <w:pPr>
              <w:numPr>
                <w:ilvl w:val="1"/>
                <w:numId w:val="5"/>
              </w:numPr>
              <w:tabs>
                <w:tab w:val="clear" w:pos="1440"/>
              </w:tabs>
              <w:spacing w:before="100" w:beforeAutospacing="1" w:after="100" w:afterAutospacing="1"/>
              <w:rPr>
                <w:rFonts w:ascii="Arial" w:hAnsi="Arial" w:cs="Arial"/>
              </w:rPr>
            </w:pPr>
            <w:r>
              <w:rPr>
                <w:rFonts w:ascii="Arial" w:hAnsi="Arial" w:cs="Arial"/>
              </w:rPr>
              <w:t>report maintenance faults to the standard required in the workplace</w:t>
            </w:r>
          </w:p>
          <w:p w:rsidR="00345DEA" w:rsidRDefault="00345DEA" w:rsidP="00345DEA">
            <w:pPr>
              <w:numPr>
                <w:ilvl w:val="1"/>
                <w:numId w:val="5"/>
              </w:numPr>
              <w:tabs>
                <w:tab w:val="clear" w:pos="1440"/>
              </w:tabs>
              <w:spacing w:before="100" w:beforeAutospacing="1" w:after="100" w:afterAutospacing="1"/>
              <w:rPr>
                <w:rFonts w:ascii="Arial" w:hAnsi="Arial" w:cs="Arial"/>
              </w:rPr>
            </w:pPr>
            <w:r>
              <w:rPr>
                <w:rFonts w:ascii="Arial" w:hAnsi="Arial" w:cs="Arial"/>
              </w:rPr>
              <w:t xml:space="preserve">perform basic equipment maintenance to standards required </w:t>
            </w:r>
            <w:r>
              <w:rPr>
                <w:rFonts w:ascii="Arial" w:hAnsi="Arial" w:cs="Arial"/>
              </w:rPr>
              <w:br/>
              <w:t>in the workplace</w:t>
            </w:r>
          </w:p>
          <w:p w:rsidR="00345DEA" w:rsidRDefault="00345DEA" w:rsidP="00345DEA">
            <w:pPr>
              <w:numPr>
                <w:ilvl w:val="1"/>
                <w:numId w:val="5"/>
              </w:numPr>
              <w:tabs>
                <w:tab w:val="clear" w:pos="1440"/>
              </w:tabs>
              <w:spacing w:before="100" w:beforeAutospacing="1" w:after="100" w:afterAutospacing="1"/>
              <w:rPr>
                <w:rFonts w:ascii="Arial" w:hAnsi="Arial" w:cs="Arial"/>
              </w:rPr>
            </w:pPr>
            <w:r>
              <w:rPr>
                <w:rFonts w:ascii="Arial" w:hAnsi="Arial" w:cs="Arial"/>
              </w:rPr>
              <w:t>conform to relevant occupational health and safety standards</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Interdependent assessment of units</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numPr>
                <w:ilvl w:val="0"/>
                <w:numId w:val="6"/>
              </w:numPr>
              <w:tabs>
                <w:tab w:val="clear" w:pos="720"/>
              </w:tabs>
              <w:spacing w:before="100" w:beforeAutospacing="1" w:after="100" w:afterAutospacing="1"/>
              <w:rPr>
                <w:rFonts w:ascii="Arial" w:hAnsi="Arial" w:cs="Arial"/>
              </w:rPr>
            </w:pPr>
            <w:r>
              <w:rPr>
                <w:rFonts w:ascii="Arial" w:hAnsi="Arial" w:cs="Arial"/>
              </w:rPr>
              <w:t>This unit must be assessed after attainment of competency in the following unit(s)</w:t>
            </w:r>
          </w:p>
          <w:p w:rsidR="00345DEA" w:rsidRDefault="00345DEA" w:rsidP="00345DEA">
            <w:pPr>
              <w:numPr>
                <w:ilvl w:val="1"/>
                <w:numId w:val="6"/>
              </w:numPr>
              <w:tabs>
                <w:tab w:val="clear" w:pos="1440"/>
              </w:tabs>
              <w:spacing w:before="100" w:beforeAutospacing="1" w:after="100" w:afterAutospacing="1"/>
              <w:rPr>
                <w:rFonts w:ascii="Arial" w:hAnsi="Arial" w:cs="Arial"/>
              </w:rPr>
            </w:pPr>
            <w:r>
              <w:rPr>
                <w:rFonts w:ascii="Arial" w:hAnsi="Arial" w:cs="Arial"/>
              </w:rPr>
              <w:t>Nil</w:t>
            </w:r>
          </w:p>
          <w:p w:rsidR="00345DEA" w:rsidRDefault="00345DEA" w:rsidP="00345DEA">
            <w:pPr>
              <w:numPr>
                <w:ilvl w:val="0"/>
                <w:numId w:val="6"/>
              </w:numPr>
              <w:tabs>
                <w:tab w:val="clear" w:pos="720"/>
              </w:tabs>
              <w:spacing w:before="100" w:beforeAutospacing="1" w:after="100" w:afterAutospacing="1"/>
              <w:rPr>
                <w:rFonts w:ascii="Arial" w:hAnsi="Arial" w:cs="Arial"/>
              </w:rPr>
            </w:pPr>
            <w:r>
              <w:rPr>
                <w:rFonts w:ascii="Arial" w:hAnsi="Arial" w:cs="Arial"/>
              </w:rPr>
              <w:t>This unit must be assessed in conjunction with the following unit(s)</w:t>
            </w:r>
          </w:p>
          <w:p w:rsidR="00345DEA" w:rsidRDefault="00345DEA" w:rsidP="00345DEA">
            <w:pPr>
              <w:numPr>
                <w:ilvl w:val="1"/>
                <w:numId w:val="6"/>
              </w:numPr>
              <w:tabs>
                <w:tab w:val="clear" w:pos="1440"/>
              </w:tabs>
              <w:spacing w:before="100" w:beforeAutospacing="1" w:after="100" w:afterAutospacing="1"/>
              <w:rPr>
                <w:rFonts w:ascii="Arial" w:hAnsi="Arial" w:cs="Arial"/>
              </w:rPr>
            </w:pPr>
            <w:r>
              <w:rPr>
                <w:rFonts w:ascii="Arial" w:hAnsi="Arial" w:cs="Arial"/>
              </w:rPr>
              <w:t>Nil</w:t>
            </w:r>
          </w:p>
          <w:p w:rsidR="00345DEA" w:rsidRDefault="00345DEA" w:rsidP="00345DEA">
            <w:pPr>
              <w:numPr>
                <w:ilvl w:val="0"/>
                <w:numId w:val="6"/>
              </w:numPr>
              <w:tabs>
                <w:tab w:val="clear" w:pos="720"/>
              </w:tabs>
              <w:spacing w:before="100" w:beforeAutospacing="1" w:after="100" w:afterAutospacing="1"/>
              <w:rPr>
                <w:rFonts w:ascii="Arial" w:hAnsi="Arial" w:cs="Arial"/>
              </w:rPr>
            </w:pPr>
            <w:r>
              <w:rPr>
                <w:rFonts w:ascii="Arial" w:hAnsi="Arial" w:cs="Arial"/>
              </w:rPr>
              <w:t>For the purpose of integrated assessment, this unit may be assessed in conjunction with the following unit(s)</w:t>
            </w:r>
          </w:p>
          <w:p w:rsidR="00345DEA" w:rsidRDefault="00345DEA" w:rsidP="00345DEA">
            <w:pPr>
              <w:numPr>
                <w:ilvl w:val="1"/>
                <w:numId w:val="6"/>
              </w:numPr>
              <w:tabs>
                <w:tab w:val="clear" w:pos="1440"/>
              </w:tabs>
              <w:spacing w:before="100" w:beforeAutospacing="1" w:after="100" w:afterAutospacing="1"/>
              <w:rPr>
                <w:rFonts w:ascii="Arial" w:hAnsi="Arial" w:cs="Arial"/>
              </w:rPr>
            </w:pPr>
            <w:r>
              <w:rPr>
                <w:rFonts w:ascii="Arial" w:hAnsi="Arial" w:cs="Arial"/>
              </w:rPr>
              <w:t>Nil</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Required knowledge and skills</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numPr>
                <w:ilvl w:val="0"/>
                <w:numId w:val="7"/>
              </w:numPr>
              <w:tabs>
                <w:tab w:val="clear" w:pos="720"/>
              </w:tabs>
              <w:spacing w:before="100" w:beforeAutospacing="1" w:after="100" w:afterAutospacing="1"/>
              <w:rPr>
                <w:rFonts w:ascii="Arial" w:hAnsi="Arial" w:cs="Arial"/>
              </w:rPr>
            </w:pPr>
            <w:r>
              <w:rPr>
                <w:rFonts w:ascii="Arial" w:hAnsi="Arial" w:cs="Arial"/>
              </w:rPr>
              <w:t>Required knowledge</w:t>
            </w:r>
          </w:p>
          <w:p w:rsidR="00345DEA" w:rsidRDefault="00345DEA" w:rsidP="00345DEA">
            <w:pPr>
              <w:numPr>
                <w:ilvl w:val="1"/>
                <w:numId w:val="7"/>
              </w:numPr>
              <w:tabs>
                <w:tab w:val="clear" w:pos="1440"/>
              </w:tabs>
              <w:spacing w:before="100" w:beforeAutospacing="1" w:after="100" w:afterAutospacing="1"/>
              <w:rPr>
                <w:rFonts w:ascii="Arial" w:hAnsi="Arial" w:cs="Arial"/>
              </w:rPr>
            </w:pPr>
            <w:r>
              <w:rPr>
                <w:rFonts w:ascii="Arial" w:hAnsi="Arial" w:cs="Arial"/>
              </w:rPr>
              <w:t>Terminology related to fitness equipment</w:t>
            </w:r>
          </w:p>
          <w:p w:rsidR="00345DEA" w:rsidRDefault="00345DEA" w:rsidP="00345DEA">
            <w:pPr>
              <w:numPr>
                <w:ilvl w:val="0"/>
                <w:numId w:val="7"/>
              </w:numPr>
              <w:tabs>
                <w:tab w:val="clear" w:pos="720"/>
              </w:tabs>
              <w:spacing w:before="100" w:beforeAutospacing="1" w:after="100" w:afterAutospacing="1"/>
              <w:rPr>
                <w:rFonts w:ascii="Arial" w:hAnsi="Arial" w:cs="Arial"/>
              </w:rPr>
            </w:pPr>
            <w:r>
              <w:rPr>
                <w:rFonts w:ascii="Arial" w:hAnsi="Arial" w:cs="Arial"/>
              </w:rPr>
              <w:t>Required skills</w:t>
            </w:r>
          </w:p>
          <w:p w:rsidR="00345DEA" w:rsidRDefault="00345DEA" w:rsidP="00345DEA">
            <w:pPr>
              <w:numPr>
                <w:ilvl w:val="1"/>
                <w:numId w:val="7"/>
              </w:numPr>
              <w:tabs>
                <w:tab w:val="clear" w:pos="1440"/>
              </w:tabs>
              <w:spacing w:before="100" w:beforeAutospacing="1" w:after="100" w:afterAutospacing="1"/>
              <w:rPr>
                <w:rFonts w:ascii="Arial" w:hAnsi="Arial" w:cs="Arial"/>
              </w:rPr>
            </w:pPr>
            <w:r>
              <w:rPr>
                <w:rFonts w:ascii="Arial" w:hAnsi="Arial" w:cs="Arial"/>
              </w:rPr>
              <w:t xml:space="preserve">Familiarity with the use of tools required for the basic maintenance of fitness industry equipment, such as spanners, sockets, pliers, screwdrivers, and </w:t>
            </w:r>
            <w:proofErr w:type="spellStart"/>
            <w:proofErr w:type="gramStart"/>
            <w:r>
              <w:rPr>
                <w:rFonts w:ascii="Arial" w:hAnsi="Arial" w:cs="Arial"/>
              </w:rPr>
              <w:t>allen</w:t>
            </w:r>
            <w:proofErr w:type="spellEnd"/>
            <w:proofErr w:type="gramEnd"/>
            <w:r>
              <w:rPr>
                <w:rFonts w:ascii="Arial" w:hAnsi="Arial" w:cs="Arial"/>
              </w:rPr>
              <w:t xml:space="preserve"> keys.</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Resource implications</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numPr>
                <w:ilvl w:val="0"/>
                <w:numId w:val="8"/>
              </w:numPr>
              <w:tabs>
                <w:tab w:val="clear" w:pos="720"/>
              </w:tabs>
              <w:spacing w:before="100" w:beforeAutospacing="1" w:after="100" w:afterAutospacing="1"/>
              <w:rPr>
                <w:rFonts w:ascii="Arial" w:hAnsi="Arial" w:cs="Arial"/>
              </w:rPr>
            </w:pPr>
            <w:r>
              <w:rPr>
                <w:rFonts w:ascii="Arial" w:hAnsi="Arial" w:cs="Arial"/>
              </w:rPr>
              <w:t>Physical resources — assessment of this competency requires access to</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a real or simulated work environment</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appropriate documentation and resources normally used in the workplace</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a fitness centre environment</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quality exercise gym equipment of a standard common in the fitness Industry</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a real or simulated fitness centre environment</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original relevant equipment operation and maintenance manuals</w:t>
            </w:r>
          </w:p>
          <w:p w:rsidR="00345DEA" w:rsidRDefault="00345DEA" w:rsidP="00345DEA">
            <w:pPr>
              <w:numPr>
                <w:ilvl w:val="1"/>
                <w:numId w:val="8"/>
              </w:numPr>
              <w:tabs>
                <w:tab w:val="clear" w:pos="1440"/>
              </w:tabs>
              <w:spacing w:before="100" w:beforeAutospacing="1" w:after="100" w:afterAutospacing="1"/>
              <w:rPr>
                <w:rFonts w:ascii="Arial" w:hAnsi="Arial" w:cs="Arial"/>
              </w:rPr>
            </w:pPr>
            <w:r>
              <w:rPr>
                <w:rFonts w:ascii="Arial" w:hAnsi="Arial" w:cs="Arial"/>
              </w:rPr>
              <w:t xml:space="preserve">basic maintenance equipment such as upholstery cleaning kit, glass cleaning kit and toolbox, </w:t>
            </w:r>
            <w:proofErr w:type="spellStart"/>
            <w:r>
              <w:rPr>
                <w:rFonts w:ascii="Arial" w:hAnsi="Arial" w:cs="Arial"/>
              </w:rPr>
              <w:t>ie</w:t>
            </w:r>
            <w:proofErr w:type="spellEnd"/>
            <w:r>
              <w:rPr>
                <w:rFonts w:ascii="Arial" w:hAnsi="Arial" w:cs="Arial"/>
              </w:rPr>
              <w:t xml:space="preserve">, socket set, screwdrivers, </w:t>
            </w:r>
            <w:proofErr w:type="spellStart"/>
            <w:r>
              <w:rPr>
                <w:rFonts w:ascii="Arial" w:hAnsi="Arial" w:cs="Arial"/>
              </w:rPr>
              <w:t>allen</w:t>
            </w:r>
            <w:proofErr w:type="spellEnd"/>
            <w:r>
              <w:rPr>
                <w:rFonts w:ascii="Arial" w:hAnsi="Arial" w:cs="Arial"/>
              </w:rPr>
              <w:t xml:space="preserve"> keys, spanners, pliers and lubrication set</w:t>
            </w:r>
          </w:p>
          <w:p w:rsidR="00345DEA" w:rsidRDefault="00345DEA" w:rsidP="00345DEA">
            <w:pPr>
              <w:numPr>
                <w:ilvl w:val="0"/>
                <w:numId w:val="8"/>
              </w:numPr>
              <w:spacing w:before="100" w:beforeAutospacing="1" w:after="100" w:afterAutospacing="1"/>
              <w:rPr>
                <w:rFonts w:ascii="Arial" w:hAnsi="Arial" w:cs="Arial"/>
              </w:rPr>
            </w:pPr>
            <w:r>
              <w:rPr>
                <w:rFonts w:ascii="Arial" w:hAnsi="Arial" w:cs="Arial"/>
              </w:rPr>
              <w:t xml:space="preserve">Human resources — assessment of this competency will require human resources consistent with those outlined in the Assessment Guidelines.  That is, assessors (or persons within the assessment team) should </w:t>
            </w:r>
          </w:p>
          <w:p w:rsidR="00345DEA" w:rsidRDefault="00345DEA" w:rsidP="00345DEA">
            <w:pPr>
              <w:numPr>
                <w:ilvl w:val="1"/>
                <w:numId w:val="8"/>
              </w:numPr>
              <w:spacing w:before="100" w:beforeAutospacing="1" w:after="100" w:afterAutospacing="1"/>
              <w:rPr>
                <w:rFonts w:ascii="Arial" w:hAnsi="Arial" w:cs="Arial"/>
              </w:rPr>
            </w:pPr>
            <w:r>
              <w:rPr>
                <w:rFonts w:ascii="Arial" w:hAnsi="Arial" w:cs="Arial"/>
              </w:rPr>
              <w:t xml:space="preserve">be competent in this unit but preferably be competent in the unit </w:t>
            </w:r>
            <w:r>
              <w:rPr>
                <w:rFonts w:ascii="Arial" w:hAnsi="Arial" w:cs="Arial"/>
              </w:rPr>
              <w:br/>
              <w:t xml:space="preserve">at the level above </w:t>
            </w:r>
          </w:p>
          <w:p w:rsidR="00345DEA" w:rsidRDefault="00345DEA" w:rsidP="00345DEA">
            <w:pPr>
              <w:numPr>
                <w:ilvl w:val="1"/>
                <w:numId w:val="8"/>
              </w:numPr>
              <w:spacing w:before="100" w:beforeAutospacing="1" w:after="100" w:afterAutospacing="1"/>
              <w:rPr>
                <w:rFonts w:ascii="Arial" w:hAnsi="Arial" w:cs="Arial"/>
              </w:rPr>
            </w:pPr>
            <w:r>
              <w:rPr>
                <w:rFonts w:ascii="Arial" w:hAnsi="Arial" w:cs="Arial"/>
              </w:rPr>
              <w:t>be current in their knowledge and understanding of the industry through provision of evidence of professional activity in the relevant area</w:t>
            </w:r>
          </w:p>
          <w:p w:rsidR="00345DEA" w:rsidRDefault="00345DEA" w:rsidP="00345DEA">
            <w:pPr>
              <w:numPr>
                <w:ilvl w:val="1"/>
                <w:numId w:val="8"/>
              </w:numPr>
              <w:spacing w:before="100" w:beforeAutospacing="1" w:after="100" w:afterAutospacing="1"/>
              <w:rPr>
                <w:rFonts w:ascii="Arial" w:hAnsi="Arial" w:cs="Arial"/>
              </w:rPr>
            </w:pPr>
            <w:r>
              <w:rPr>
                <w:rFonts w:ascii="Arial" w:hAnsi="Arial" w:cs="Arial"/>
              </w:rPr>
              <w:t>have attained the National Competency Standards for Assessment: BSZ401A, BSZ402A and BSZ403A</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t xml:space="preserve">Consistency in </w:t>
            </w:r>
            <w:r>
              <w:rPr>
                <w:rFonts w:ascii="Arial" w:hAnsi="Arial" w:cs="Arial"/>
                <w:b/>
                <w:bCs/>
              </w:rPr>
              <w:lastRenderedPageBreak/>
              <w:t>performance</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numPr>
                <w:ilvl w:val="0"/>
                <w:numId w:val="9"/>
              </w:numPr>
              <w:tabs>
                <w:tab w:val="clear" w:pos="720"/>
              </w:tabs>
              <w:spacing w:before="100" w:beforeAutospacing="1" w:after="100" w:afterAutospacing="1"/>
              <w:rPr>
                <w:rFonts w:ascii="Arial" w:hAnsi="Arial" w:cs="Arial"/>
              </w:rPr>
            </w:pPr>
            <w:r>
              <w:rPr>
                <w:rFonts w:ascii="Arial" w:hAnsi="Arial" w:cs="Arial"/>
              </w:rPr>
              <w:lastRenderedPageBreak/>
              <w:t xml:space="preserve">Due to issues such as safety requirements and delivery of appropriate </w:t>
            </w:r>
            <w:r>
              <w:rPr>
                <w:rFonts w:ascii="Arial" w:hAnsi="Arial" w:cs="Arial"/>
              </w:rPr>
              <w:lastRenderedPageBreak/>
              <w:t>techniques, this unit of competency must be assessed over a minimum of three (3) different occasions to ensure consistency of performance over the Range Statements and context applicable to the work environment</w:t>
            </w:r>
          </w:p>
        </w:tc>
      </w:tr>
      <w:tr w:rsidR="00345DEA"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345DEA" w:rsidRDefault="00345DEA" w:rsidP="007A4130">
            <w:pPr>
              <w:rPr>
                <w:rFonts w:ascii="Arial" w:hAnsi="Arial" w:cs="Arial"/>
              </w:rPr>
            </w:pPr>
            <w:r>
              <w:rPr>
                <w:rFonts w:ascii="Arial" w:hAnsi="Arial" w:cs="Arial"/>
                <w:b/>
                <w:bCs/>
              </w:rPr>
              <w:lastRenderedPageBreak/>
              <w:t>Context for assessment</w:t>
            </w:r>
          </w:p>
        </w:tc>
        <w:tc>
          <w:tcPr>
            <w:tcW w:w="7370" w:type="dxa"/>
            <w:tcBorders>
              <w:top w:val="outset" w:sz="6" w:space="0" w:color="000000"/>
              <w:left w:val="outset" w:sz="6" w:space="0" w:color="000000"/>
              <w:bottom w:val="outset" w:sz="6" w:space="0" w:color="000000"/>
              <w:right w:val="outset" w:sz="6" w:space="0" w:color="000000"/>
            </w:tcBorders>
          </w:tcPr>
          <w:p w:rsidR="00345DEA" w:rsidRDefault="00345DEA" w:rsidP="00345DEA">
            <w:pPr>
              <w:numPr>
                <w:ilvl w:val="0"/>
                <w:numId w:val="1"/>
              </w:numPr>
              <w:tabs>
                <w:tab w:val="clear" w:pos="720"/>
              </w:tabs>
              <w:spacing w:before="100" w:beforeAutospacing="1" w:after="100" w:afterAutospacing="1"/>
              <w:rPr>
                <w:rFonts w:ascii="Arial" w:hAnsi="Arial" w:cs="Arial"/>
              </w:rPr>
            </w:pPr>
            <w:r>
              <w:rPr>
                <w:rFonts w:ascii="Arial" w:hAnsi="Arial" w:cs="Arial"/>
              </w:rPr>
              <w:t xml:space="preserve">This unit of competency must be assessed in the context of fitness in </w:t>
            </w:r>
            <w:smartTag w:uri="urn:schemas-microsoft-com:office:smarttags" w:element="country-region">
              <w:smartTag w:uri="urn:schemas-microsoft-com:office:smarttags" w:element="place">
                <w:r>
                  <w:rPr>
                    <w:rFonts w:ascii="Arial" w:hAnsi="Arial" w:cs="Arial"/>
                  </w:rPr>
                  <w:t>Australia</w:t>
                </w:r>
              </w:smartTag>
            </w:smartTag>
            <w:r>
              <w:rPr>
                <w:rFonts w:ascii="Arial" w:hAnsi="Arial" w:cs="Arial"/>
              </w:rPr>
              <w:t xml:space="preserve">. For valid and reliable assessment the fitness activity should closely replicate the work environment. The environment should be safe, with the hazards, circumstances and equipment likely to be encountered </w:t>
            </w:r>
            <w:r>
              <w:rPr>
                <w:rFonts w:ascii="Arial" w:hAnsi="Arial" w:cs="Arial"/>
              </w:rPr>
              <w:br/>
              <w:t>in a real workplace</w:t>
            </w:r>
          </w:p>
          <w:p w:rsidR="00345DEA" w:rsidRDefault="00345DEA" w:rsidP="00345DEA">
            <w:pPr>
              <w:numPr>
                <w:ilvl w:val="0"/>
                <w:numId w:val="1"/>
              </w:numPr>
              <w:tabs>
                <w:tab w:val="clear" w:pos="720"/>
              </w:tabs>
              <w:spacing w:before="100" w:beforeAutospacing="1" w:after="100" w:afterAutospacing="1"/>
              <w:rPr>
                <w:rFonts w:ascii="Arial" w:hAnsi="Arial" w:cs="Arial"/>
              </w:rPr>
            </w:pPr>
            <w:r>
              <w:rPr>
                <w:rFonts w:ascii="Arial" w:hAnsi="Arial" w:cs="Arial"/>
              </w:rPr>
              <w:t>This unit of competence should be assessed through the observation of processes and procedures, oral and/or written questioning on required knowledge and skills and consideration of required attitudes</w:t>
            </w:r>
          </w:p>
          <w:p w:rsidR="00345DEA" w:rsidRDefault="00345DEA" w:rsidP="00345DEA">
            <w:pPr>
              <w:numPr>
                <w:ilvl w:val="0"/>
                <w:numId w:val="1"/>
              </w:numPr>
              <w:tabs>
                <w:tab w:val="clear" w:pos="720"/>
              </w:tabs>
              <w:spacing w:before="100" w:beforeAutospacing="1" w:after="100" w:afterAutospacing="1"/>
              <w:rPr>
                <w:rFonts w:ascii="Arial" w:hAnsi="Arial" w:cs="Arial"/>
              </w:rPr>
            </w:pPr>
            <w:r>
              <w:rPr>
                <w:rFonts w:ascii="Arial" w:hAnsi="Arial" w:cs="Arial"/>
              </w:rPr>
              <w:t xml:space="preserve">Where performance is not directly observed and/or is required to be demonstrated over a “period of time” and/or in a “number of locations”, </w:t>
            </w:r>
            <w:r>
              <w:rPr>
                <w:rFonts w:ascii="Arial" w:hAnsi="Arial" w:cs="Arial"/>
              </w:rPr>
              <w:br/>
              <w:t>any evidence should be authenticated by colleagues, supervisors, clients or other appropriate persons</w:t>
            </w:r>
          </w:p>
        </w:tc>
      </w:tr>
    </w:tbl>
    <w:p w:rsidR="00345DEA" w:rsidRDefault="00345DEA" w:rsidP="00345DEA">
      <w:pPr>
        <w:rPr>
          <w:vanish/>
          <w:sz w:val="24"/>
          <w:szCs w:val="24"/>
        </w:rPr>
      </w:pPr>
      <w:r>
        <w:rPr>
          <w:rFonts w:ascii="Arial" w:hAnsi="Arial" w:cs="Arial"/>
        </w:rPr>
        <w:br w:type="page"/>
      </w:r>
    </w:p>
    <w:tbl>
      <w:tblPr>
        <w:tblW w:w="9637"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1537"/>
        <w:gridCol w:w="1633"/>
        <w:gridCol w:w="1152"/>
        <w:gridCol w:w="1345"/>
        <w:gridCol w:w="1280"/>
        <w:gridCol w:w="1345"/>
        <w:gridCol w:w="1345"/>
      </w:tblGrid>
      <w:tr w:rsidR="00345DEA" w:rsidTr="007A4130">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000000"/>
          </w:tcPr>
          <w:p w:rsidR="00345DEA" w:rsidRDefault="00345DEA" w:rsidP="007A4130">
            <w:pPr>
              <w:jc w:val="center"/>
              <w:rPr>
                <w:rFonts w:ascii="Arial" w:hAnsi="Arial" w:cs="Arial"/>
              </w:rPr>
            </w:pPr>
            <w:r>
              <w:rPr>
                <w:rFonts w:ascii="Arial" w:hAnsi="Arial" w:cs="Arial"/>
                <w:b/>
                <w:bCs/>
                <w:color w:val="FFFFFF"/>
              </w:rPr>
              <w:t>KEY COMPETENCIES</w:t>
            </w:r>
          </w:p>
        </w:tc>
      </w:tr>
      <w:tr w:rsidR="00345DEA" w:rsidTr="007A4130">
        <w:trPr>
          <w:tblCellSpacing w:w="0" w:type="dxa"/>
        </w:trPr>
        <w:tc>
          <w:tcPr>
            <w:tcW w:w="8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Collect, Analyse &amp; Organise Information</w:t>
            </w:r>
          </w:p>
        </w:tc>
        <w:tc>
          <w:tcPr>
            <w:tcW w:w="85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Communicate Ideas &amp; Information</w:t>
            </w:r>
          </w:p>
        </w:tc>
        <w:tc>
          <w:tcPr>
            <w:tcW w:w="6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Plan &amp; Organise Activities</w:t>
            </w:r>
          </w:p>
        </w:tc>
        <w:tc>
          <w:tcPr>
            <w:tcW w:w="7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Work with Others &amp; in Teams</w:t>
            </w:r>
          </w:p>
        </w:tc>
        <w:tc>
          <w:tcPr>
            <w:tcW w:w="65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Use Mathematical Ideas &amp; Techniques</w:t>
            </w:r>
          </w:p>
        </w:tc>
        <w:tc>
          <w:tcPr>
            <w:tcW w:w="7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Solve Problems</w:t>
            </w:r>
          </w:p>
        </w:tc>
        <w:tc>
          <w:tcPr>
            <w:tcW w:w="7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Use Technology</w:t>
            </w:r>
          </w:p>
        </w:tc>
      </w:tr>
      <w:tr w:rsidR="00345DEA" w:rsidTr="007A4130">
        <w:trPr>
          <w:tblCellSpacing w:w="0" w:type="dxa"/>
        </w:trPr>
        <w:tc>
          <w:tcPr>
            <w:tcW w:w="8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2</w:t>
            </w:r>
          </w:p>
        </w:tc>
        <w:tc>
          <w:tcPr>
            <w:tcW w:w="85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1</w:t>
            </w:r>
          </w:p>
        </w:tc>
        <w:tc>
          <w:tcPr>
            <w:tcW w:w="6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2</w:t>
            </w:r>
          </w:p>
        </w:tc>
        <w:tc>
          <w:tcPr>
            <w:tcW w:w="65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3</w:t>
            </w:r>
          </w:p>
        </w:tc>
        <w:tc>
          <w:tcPr>
            <w:tcW w:w="7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2</w:t>
            </w:r>
          </w:p>
        </w:tc>
        <w:tc>
          <w:tcPr>
            <w:tcW w:w="700" w:type="pct"/>
            <w:tcBorders>
              <w:top w:val="outset" w:sz="6" w:space="0" w:color="000000"/>
              <w:left w:val="outset" w:sz="6" w:space="0" w:color="000000"/>
              <w:bottom w:val="outset" w:sz="6" w:space="0" w:color="000000"/>
              <w:right w:val="outset" w:sz="6" w:space="0" w:color="000000"/>
            </w:tcBorders>
          </w:tcPr>
          <w:p w:rsidR="00345DEA" w:rsidRDefault="00345DEA" w:rsidP="007A4130">
            <w:pPr>
              <w:jc w:val="center"/>
              <w:rPr>
                <w:rFonts w:ascii="Arial" w:hAnsi="Arial" w:cs="Arial"/>
              </w:rPr>
            </w:pPr>
            <w:r>
              <w:rPr>
                <w:rFonts w:ascii="Arial" w:hAnsi="Arial" w:cs="Arial"/>
              </w:rPr>
              <w:t>2</w:t>
            </w:r>
          </w:p>
        </w:tc>
      </w:tr>
      <w:tr w:rsidR="00345DEA" w:rsidTr="007A4130">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tcPr>
          <w:p w:rsidR="00345DEA" w:rsidRDefault="00345DEA" w:rsidP="007A4130">
            <w:pPr>
              <w:pStyle w:val="NormalWeb"/>
            </w:pPr>
            <w:r>
              <w:t>These levels do not relate to the Australian Qualifications Framework. They relate to the seven areas of generic competency that underpin effective workplace practices.</w:t>
            </w:r>
          </w:p>
          <w:p w:rsidR="00345DEA" w:rsidRDefault="00345DEA" w:rsidP="007A4130">
            <w:pPr>
              <w:pStyle w:val="NormalWeb"/>
            </w:pPr>
            <w:r>
              <w:t>The three levels of performance (1, 2 and 3) denote the level of competency required to perform the task:</w:t>
            </w:r>
          </w:p>
          <w:p w:rsidR="00345DEA" w:rsidRDefault="00345DEA" w:rsidP="00345DEA">
            <w:pPr>
              <w:numPr>
                <w:ilvl w:val="0"/>
                <w:numId w:val="10"/>
              </w:numPr>
              <w:tabs>
                <w:tab w:val="clear" w:pos="720"/>
              </w:tabs>
              <w:spacing w:before="100" w:beforeAutospacing="1" w:after="100" w:afterAutospacing="1"/>
              <w:rPr>
                <w:rFonts w:ascii="Arial" w:hAnsi="Arial" w:cs="Arial"/>
              </w:rPr>
            </w:pPr>
            <w:r>
              <w:rPr>
                <w:rFonts w:ascii="Arial" w:hAnsi="Arial" w:cs="Arial"/>
              </w:rPr>
              <w:t>Use routine approaches</w:t>
            </w:r>
          </w:p>
          <w:p w:rsidR="00345DEA" w:rsidRDefault="00345DEA" w:rsidP="00345DEA">
            <w:pPr>
              <w:numPr>
                <w:ilvl w:val="0"/>
                <w:numId w:val="10"/>
              </w:numPr>
              <w:tabs>
                <w:tab w:val="clear" w:pos="720"/>
              </w:tabs>
              <w:spacing w:before="100" w:beforeAutospacing="1" w:after="100" w:afterAutospacing="1"/>
              <w:rPr>
                <w:rFonts w:ascii="Arial" w:hAnsi="Arial" w:cs="Arial"/>
              </w:rPr>
            </w:pPr>
            <w:r>
              <w:rPr>
                <w:rFonts w:ascii="Arial" w:hAnsi="Arial" w:cs="Arial"/>
              </w:rPr>
              <w:t>Select from routine approaches</w:t>
            </w:r>
          </w:p>
          <w:p w:rsidR="00345DEA" w:rsidRDefault="00345DEA" w:rsidP="00345DEA">
            <w:pPr>
              <w:numPr>
                <w:ilvl w:val="0"/>
                <w:numId w:val="10"/>
              </w:numPr>
              <w:tabs>
                <w:tab w:val="clear" w:pos="720"/>
              </w:tabs>
              <w:spacing w:before="100" w:beforeAutospacing="1" w:after="100" w:afterAutospacing="1"/>
              <w:rPr>
                <w:rFonts w:ascii="Arial" w:hAnsi="Arial" w:cs="Arial"/>
              </w:rPr>
            </w:pPr>
            <w:r>
              <w:rPr>
                <w:rFonts w:ascii="Arial" w:hAnsi="Arial" w:cs="Arial"/>
              </w:rPr>
              <w:t>Establish new approaches</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Collecting, analysing and organising information —</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Communicating ideas and information —</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Planning and organising activities —</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Working with teams and others —</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Using mathematical ideas and techniques —</w:t>
            </w:r>
            <w:r>
              <w:rPr>
                <w:rFonts w:ascii="Arial" w:hAnsi="Arial" w:cs="Arial"/>
              </w:rPr>
              <w:t xml:space="preserve"> </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Solving problems —</w:t>
            </w:r>
          </w:p>
          <w:p w:rsidR="00345DEA" w:rsidRDefault="00345DEA" w:rsidP="00345DEA">
            <w:pPr>
              <w:numPr>
                <w:ilvl w:val="0"/>
                <w:numId w:val="11"/>
              </w:numPr>
              <w:tabs>
                <w:tab w:val="clear" w:pos="720"/>
              </w:tabs>
              <w:spacing w:before="100" w:beforeAutospacing="1" w:after="100" w:afterAutospacing="1"/>
              <w:rPr>
                <w:rFonts w:ascii="Arial" w:hAnsi="Arial" w:cs="Arial"/>
              </w:rPr>
            </w:pPr>
            <w:r>
              <w:rPr>
                <w:rFonts w:ascii="Arial" w:hAnsi="Arial" w:cs="Arial"/>
                <w:b/>
                <w:bCs/>
              </w:rPr>
              <w:t>Using technology —</w:t>
            </w:r>
          </w:p>
          <w:p w:rsidR="00345DEA" w:rsidRDefault="00345DEA" w:rsidP="007A4130">
            <w:pPr>
              <w:pStyle w:val="NormalWeb"/>
            </w:pPr>
            <w:r>
              <w:t>Please refer to the Assessment Guidelines for advice on how to use the Key Competencies.</w:t>
            </w:r>
          </w:p>
        </w:tc>
      </w:tr>
    </w:tbl>
    <w:p w:rsidR="00345DEA" w:rsidRDefault="00345DEA" w:rsidP="00345DEA">
      <w:pPr>
        <w:rPr>
          <w:sz w:val="24"/>
          <w:szCs w:val="24"/>
        </w:rPr>
      </w:pP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043A"/>
    <w:multiLevelType w:val="multilevel"/>
    <w:tmpl w:val="B1D4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694B88"/>
    <w:multiLevelType w:val="multilevel"/>
    <w:tmpl w:val="C96E2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3C0880"/>
    <w:multiLevelType w:val="multilevel"/>
    <w:tmpl w:val="6C347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6B46B9"/>
    <w:multiLevelType w:val="multilevel"/>
    <w:tmpl w:val="F6B41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0D5FF6"/>
    <w:multiLevelType w:val="multilevel"/>
    <w:tmpl w:val="6CC2B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B4081"/>
    <w:multiLevelType w:val="multilevel"/>
    <w:tmpl w:val="8F4A9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C6336A"/>
    <w:multiLevelType w:val="multilevel"/>
    <w:tmpl w:val="480C8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2C0A16"/>
    <w:multiLevelType w:val="multilevel"/>
    <w:tmpl w:val="3B98B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795699"/>
    <w:multiLevelType w:val="multilevel"/>
    <w:tmpl w:val="F716A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7D1648"/>
    <w:multiLevelType w:val="multilevel"/>
    <w:tmpl w:val="E1D67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672808"/>
    <w:multiLevelType w:val="hybridMultilevel"/>
    <w:tmpl w:val="E334028E"/>
    <w:lvl w:ilvl="0" w:tplc="16DA1B66">
      <w:start w:val="1"/>
      <w:numFmt w:val="decimal"/>
      <w:lvlRestart w:val="0"/>
      <w:lvlText w:val="1.%1"/>
      <w:lvlJc w:val="left"/>
      <w:pPr>
        <w:tabs>
          <w:tab w:val="num" w:pos="720"/>
        </w:tabs>
        <w:ind w:left="720" w:hanging="363"/>
      </w:pPr>
      <w:rPr>
        <w:rFonts w:hint="default"/>
        <w:b w:val="0"/>
        <w:i w:val="0"/>
      </w:rPr>
    </w:lvl>
    <w:lvl w:ilvl="1" w:tplc="7CFA2660">
      <w:start w:val="1"/>
      <w:numFmt w:val="decimal"/>
      <w:lvlRestart w:val="0"/>
      <w:lvlText w:val="2.%2"/>
      <w:lvlJc w:val="left"/>
      <w:pPr>
        <w:tabs>
          <w:tab w:val="num" w:pos="1443"/>
        </w:tabs>
        <w:ind w:left="1443" w:hanging="363"/>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CD17815"/>
    <w:multiLevelType w:val="multilevel"/>
    <w:tmpl w:val="240C2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1"/>
  </w:num>
  <w:num w:numId="4">
    <w:abstractNumId w:val="3"/>
  </w:num>
  <w:num w:numId="5">
    <w:abstractNumId w:val="9"/>
  </w:num>
  <w:num w:numId="6">
    <w:abstractNumId w:val="6"/>
  </w:num>
  <w:num w:numId="7">
    <w:abstractNumId w:val="7"/>
  </w:num>
  <w:num w:numId="8">
    <w:abstractNumId w:val="1"/>
  </w:num>
  <w:num w:numId="9">
    <w:abstractNumId w:val="2"/>
  </w:num>
  <w:num w:numId="10">
    <w:abstractNumId w:val="8"/>
  </w:num>
  <w:num w:numId="11">
    <w:abstractNumId w:val="4"/>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5DEA"/>
    <w:rsid w:val="00345DEA"/>
    <w:rsid w:val="00800C24"/>
    <w:rsid w:val="00D87E3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DE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45DEA"/>
    <w:pPr>
      <w:spacing w:before="100" w:beforeAutospacing="1" w:after="100" w:afterAutospacing="1"/>
    </w:pPr>
    <w:rPr>
      <w:rFonts w:ascii="Arial" w:hAnsi="Arial" w:cs="Arial"/>
    </w:rPr>
  </w:style>
  <w:style w:type="paragraph" w:customStyle="1" w:styleId="standardtext">
    <w:name w:val="standardtext"/>
    <w:basedOn w:val="Normal"/>
    <w:rsid w:val="00345DEA"/>
    <w:pPr>
      <w:spacing w:before="100" w:beforeAutospacing="1" w:after="100" w:afterAutospacing="1"/>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1068</Words>
  <Characters>6089</Characters>
  <Application>Microsoft Office Word</Application>
  <DocSecurity>0</DocSecurity>
  <Lines>50</Lines>
  <Paragraphs>14</Paragraphs>
  <ScaleCrop>false</ScaleCrop>
  <Company>Hewlett-Packard</Company>
  <LinksUpToDate>false</LinksUpToDate>
  <CharactersWithSpaces>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2008-07-23T23:38:00Z</dcterms:created>
  <dcterms:modified xsi:type="dcterms:W3CDTF">2008-07-23T23:38:00Z</dcterms:modified>
</cp:coreProperties>
</file>